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采购需求</w:t>
      </w:r>
    </w:p>
    <w:p>
      <w:pPr>
        <w:snapToGrid w:val="0"/>
        <w:spacing w:line="360" w:lineRule="exact"/>
        <w:rPr>
          <w:rFonts w:hint="eastAsia" w:ascii="宋体" w:hAnsi="宋体" w:cs="宋体"/>
          <w:b/>
          <w:bCs/>
          <w:color w:val="auto"/>
          <w:spacing w:val="-6"/>
          <w:sz w:val="22"/>
          <w:szCs w:val="22"/>
          <w:highlight w:val="none"/>
        </w:rPr>
      </w:pPr>
      <w:bookmarkStart w:id="0" w:name="_Toc479839540"/>
      <w:r>
        <w:rPr>
          <w:rFonts w:hint="eastAsia" w:ascii="宋体" w:hAnsi="宋体" w:cs="宋体"/>
          <w:b/>
          <w:bCs/>
          <w:color w:val="auto"/>
          <w:spacing w:val="-6"/>
          <w:sz w:val="22"/>
          <w:szCs w:val="22"/>
          <w:highlight w:val="none"/>
        </w:rPr>
        <w:t>一、采购内容及数量</w:t>
      </w:r>
    </w:p>
    <w:tbl>
      <w:tblPr>
        <w:tblStyle w:val="9"/>
        <w:tblW w:w="0" w:type="auto"/>
        <w:jc w:val="center"/>
        <w:tblLayout w:type="fixed"/>
        <w:tblCellMar>
          <w:top w:w="0" w:type="dxa"/>
          <w:left w:w="108" w:type="dxa"/>
          <w:bottom w:w="0" w:type="dxa"/>
          <w:right w:w="108" w:type="dxa"/>
        </w:tblCellMar>
      </w:tblPr>
      <w:tblGrid>
        <w:gridCol w:w="1038"/>
        <w:gridCol w:w="4189"/>
        <w:gridCol w:w="905"/>
        <w:gridCol w:w="1294"/>
      </w:tblGrid>
      <w:tr>
        <w:tblPrEx>
          <w:tblCellMar>
            <w:top w:w="0" w:type="dxa"/>
            <w:left w:w="108" w:type="dxa"/>
            <w:bottom w:w="0" w:type="dxa"/>
            <w:right w:w="108" w:type="dxa"/>
          </w:tblCellMar>
        </w:tblPrEx>
        <w:trPr>
          <w:trHeight w:val="454" w:hRule="atLeast"/>
          <w:jc w:val="center"/>
        </w:trPr>
        <w:tc>
          <w:tcPr>
            <w:tcW w:w="10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418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项目内容</w:t>
            </w:r>
          </w:p>
        </w:tc>
        <w:tc>
          <w:tcPr>
            <w:tcW w:w="9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数量 </w:t>
            </w:r>
          </w:p>
        </w:tc>
        <w:tc>
          <w:tcPr>
            <w:tcW w:w="1294" w:type="dxa"/>
            <w:tcBorders>
              <w:top w:val="single" w:color="000000" w:sz="4" w:space="0"/>
              <w:left w:val="single" w:color="000000"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备注</w:t>
            </w:r>
          </w:p>
        </w:tc>
      </w:tr>
      <w:tr>
        <w:tblPrEx>
          <w:tblCellMar>
            <w:top w:w="0" w:type="dxa"/>
            <w:left w:w="108" w:type="dxa"/>
            <w:bottom w:w="0" w:type="dxa"/>
            <w:right w:w="108" w:type="dxa"/>
          </w:tblCellMar>
        </w:tblPrEx>
        <w:trPr>
          <w:trHeight w:val="454" w:hRule="atLeast"/>
          <w:jc w:val="center"/>
        </w:trPr>
        <w:tc>
          <w:tcPr>
            <w:tcW w:w="1038"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189" w:type="dxa"/>
            <w:tcBorders>
              <w:top w:val="single" w:color="000000" w:sz="4" w:space="0"/>
              <w:left w:val="single" w:color="000000"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协作机器人视觉抓取实验平台等</w:t>
            </w:r>
          </w:p>
        </w:tc>
        <w:tc>
          <w:tcPr>
            <w:tcW w:w="9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1批</w:t>
            </w:r>
          </w:p>
        </w:tc>
        <w:tc>
          <w:tcPr>
            <w:tcW w:w="129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 xml:space="preserve"> </w:t>
            </w:r>
          </w:p>
        </w:tc>
      </w:tr>
    </w:tbl>
    <w:p>
      <w:pPr>
        <w:snapToGrid w:val="0"/>
        <w:spacing w:line="360" w:lineRule="exact"/>
        <w:outlineLvl w:val="0"/>
        <w:rPr>
          <w:rFonts w:hint="eastAsia" w:ascii="宋体" w:hAnsi="宋体" w:cs="宋体"/>
          <w:b/>
          <w:color w:val="auto"/>
          <w:spacing w:val="-6"/>
          <w:sz w:val="22"/>
          <w:szCs w:val="22"/>
          <w:highlight w:val="none"/>
        </w:rPr>
      </w:pPr>
      <w:r>
        <w:rPr>
          <w:rFonts w:hint="eastAsia" w:ascii="宋体" w:hAnsi="宋体" w:cs="宋体"/>
          <w:b/>
          <w:bCs/>
          <w:color w:val="auto"/>
          <w:kern w:val="0"/>
          <w:sz w:val="22"/>
          <w:szCs w:val="22"/>
          <w:highlight w:val="none"/>
        </w:rPr>
        <w:t>二、</w:t>
      </w:r>
      <w:r>
        <w:rPr>
          <w:rFonts w:hint="eastAsia" w:ascii="宋体" w:hAnsi="宋体" w:cs="宋体"/>
          <w:b/>
          <w:color w:val="auto"/>
          <w:spacing w:val="-6"/>
          <w:sz w:val="22"/>
          <w:szCs w:val="22"/>
          <w:highlight w:val="none"/>
        </w:rPr>
        <w:t>商务要求（技术要求里另有注明的以技术要求为准）</w:t>
      </w:r>
    </w:p>
    <w:tbl>
      <w:tblPr>
        <w:tblStyle w:val="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1"/>
        <w:gridCol w:w="81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支付方式</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cs="宋体"/>
                <w:color w:val="auto"/>
                <w:sz w:val="22"/>
                <w:highlight w:val="none"/>
                <w:u w:val="single"/>
              </w:rPr>
            </w:pPr>
            <w:r>
              <w:rPr>
                <w:rFonts w:hint="eastAsia" w:ascii="宋体" w:hAnsi="宋体" w:cs="宋体"/>
                <w:color w:val="auto"/>
                <w:sz w:val="22"/>
                <w:highlight w:val="none"/>
                <w:u w:val="single"/>
              </w:rPr>
              <w:t>▲一、履约保证金支付</w:t>
            </w:r>
          </w:p>
          <w:p>
            <w:pPr>
              <w:widowControl/>
              <w:spacing w:line="360" w:lineRule="exact"/>
              <w:ind w:firstLine="440" w:firstLineChars="200"/>
              <w:jc w:val="left"/>
              <w:rPr>
                <w:rFonts w:ascii="宋体" w:hAnsi="宋体" w:cs="宋体"/>
                <w:color w:val="auto"/>
                <w:sz w:val="22"/>
                <w:highlight w:val="none"/>
                <w:u w:val="single"/>
              </w:rPr>
            </w:pPr>
            <w:r>
              <w:rPr>
                <w:rFonts w:hint="eastAsia" w:ascii="宋体" w:hAnsi="宋体" w:cs="宋体"/>
                <w:color w:val="auto"/>
                <w:sz w:val="22"/>
                <w:highlight w:val="none"/>
                <w:u w:val="single"/>
              </w:rPr>
              <w:t>合同签订后，</w:t>
            </w:r>
            <w:r>
              <w:rPr>
                <w:rFonts w:hint="eastAsia" w:ascii="宋体" w:hAnsi="宋体" w:cs="宋体"/>
                <w:color w:val="auto"/>
                <w:sz w:val="22"/>
                <w:highlight w:val="none"/>
                <w:u w:val="single"/>
                <w:lang w:eastAsia="zh-CN"/>
              </w:rPr>
              <w:t>成交供应商</w:t>
            </w:r>
            <w:r>
              <w:rPr>
                <w:rFonts w:hint="eastAsia" w:ascii="宋体" w:hAnsi="宋体" w:cs="宋体"/>
                <w:color w:val="auto"/>
                <w:sz w:val="22"/>
                <w:highlight w:val="none"/>
                <w:u w:val="single"/>
              </w:rPr>
              <w:t>5个工作日内支付合同金额的1%作为履约保证金</w:t>
            </w:r>
            <w:r>
              <w:rPr>
                <w:rFonts w:hint="eastAsia" w:ascii="宋体" w:hAnsi="宋体" w:cs="宋体"/>
                <w:color w:val="auto"/>
                <w:sz w:val="22"/>
                <w:highlight w:val="none"/>
                <w:u w:val="single"/>
                <w:lang w:eastAsia="zh-CN"/>
              </w:rPr>
              <w:t>（以</w:t>
            </w:r>
            <w:r>
              <w:rPr>
                <w:rFonts w:hint="eastAsia" w:ascii="宋体" w:hAnsi="宋体" w:eastAsia="宋体" w:cs="Helvetica"/>
                <w:color w:val="auto"/>
                <w:kern w:val="0"/>
                <w:szCs w:val="21"/>
                <w:highlight w:val="none"/>
                <w:u w:val="single"/>
              </w:rPr>
              <w:t>支票、汇票、本票或者金融机构、担保机构出具的保函等非现金形式提交</w:t>
            </w:r>
            <w:r>
              <w:rPr>
                <w:rFonts w:hint="eastAsia" w:ascii="宋体" w:hAnsi="宋体" w:eastAsia="宋体"/>
                <w:color w:val="auto"/>
                <w:szCs w:val="21"/>
                <w:highlight w:val="none"/>
                <w:u w:val="single"/>
              </w:rPr>
              <w:t>。鼓励和支持供应商以银行、保险公司出具的保函形式提供履约保证金。</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rPr>
              <w:t>，履约保证金自项目验收合格之日起无质量问题，采购人按程序在7个工作日内无息退还。</w:t>
            </w:r>
          </w:p>
          <w:p>
            <w:pPr>
              <w:widowControl/>
              <w:spacing w:line="360" w:lineRule="exact"/>
              <w:jc w:val="left"/>
              <w:rPr>
                <w:rFonts w:ascii="宋体" w:hAnsi="宋体" w:cs="宋体"/>
                <w:color w:val="auto"/>
                <w:sz w:val="22"/>
                <w:highlight w:val="none"/>
                <w:u w:val="single"/>
              </w:rPr>
            </w:pPr>
            <w:r>
              <w:rPr>
                <w:rFonts w:hint="eastAsia" w:ascii="宋体" w:hAnsi="宋体" w:cs="宋体"/>
                <w:color w:val="auto"/>
                <w:sz w:val="22"/>
                <w:highlight w:val="none"/>
                <w:u w:val="single"/>
              </w:rPr>
              <w:t>▲二、合同金额结算及支付方式：</w:t>
            </w:r>
          </w:p>
          <w:p>
            <w:pPr>
              <w:keepNext w:val="0"/>
              <w:keepLines w:val="0"/>
              <w:pageBreakBefore w:val="0"/>
              <w:kinsoku/>
              <w:wordWrap/>
              <w:overflowPunct/>
              <w:topLinePunct w:val="0"/>
              <w:bidi w:val="0"/>
              <w:spacing w:line="360" w:lineRule="exact"/>
              <w:ind w:left="0" w:lef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合同生效</w:t>
            </w:r>
            <w:r>
              <w:rPr>
                <w:rFonts w:hint="eastAsia" w:ascii="宋体" w:hAnsi="宋体" w:eastAsia="宋体" w:cs="宋体"/>
                <w:bCs/>
                <w:color w:val="auto"/>
                <w:sz w:val="22"/>
                <w:szCs w:val="22"/>
                <w:highlight w:val="none"/>
                <w:u w:val="single"/>
                <w:lang w:eastAsia="zh-CN"/>
              </w:rPr>
              <w:t>、</w:t>
            </w:r>
            <w:r>
              <w:rPr>
                <w:rFonts w:hint="eastAsia" w:ascii="宋体" w:hAnsi="宋体" w:cs="宋体"/>
                <w:bCs/>
                <w:color w:val="auto"/>
                <w:sz w:val="22"/>
                <w:szCs w:val="22"/>
                <w:highlight w:val="none"/>
                <w:u w:val="single"/>
              </w:rPr>
              <w:t>采购人收到</w:t>
            </w:r>
            <w:r>
              <w:rPr>
                <w:rFonts w:hint="eastAsia" w:ascii="宋体" w:hAnsi="宋体" w:cs="宋体"/>
                <w:bCs/>
                <w:color w:val="auto"/>
                <w:sz w:val="22"/>
                <w:szCs w:val="22"/>
                <w:highlight w:val="none"/>
                <w:u w:val="single"/>
                <w:lang w:eastAsia="zh-CN"/>
              </w:rPr>
              <w:t>成交供应商</w:t>
            </w:r>
            <w:r>
              <w:rPr>
                <w:rFonts w:hint="eastAsia" w:ascii="宋体" w:hAnsi="宋体" w:cs="宋体"/>
                <w:bCs/>
                <w:color w:val="auto"/>
                <w:sz w:val="22"/>
                <w:szCs w:val="22"/>
                <w:highlight w:val="none"/>
                <w:u w:val="single"/>
              </w:rPr>
              <w:t>出具的合同金额40%保函</w:t>
            </w:r>
            <w:r>
              <w:rPr>
                <w:rFonts w:hint="eastAsia" w:ascii="宋体" w:hAnsi="宋体" w:eastAsia="宋体" w:cs="宋体"/>
                <w:color w:val="auto"/>
                <w:sz w:val="22"/>
                <w:szCs w:val="22"/>
                <w:highlight w:val="none"/>
                <w:u w:val="single"/>
              </w:rPr>
              <w:t>以及具备实施条件后7个工作日内</w:t>
            </w:r>
            <w:r>
              <w:rPr>
                <w:rFonts w:hint="eastAsia" w:ascii="宋体" w:hAnsi="宋体" w:cs="宋体"/>
                <w:bCs/>
                <w:color w:val="auto"/>
                <w:sz w:val="22"/>
                <w:szCs w:val="22"/>
                <w:highlight w:val="none"/>
                <w:u w:val="single"/>
              </w:rPr>
              <w:t>，向</w:t>
            </w:r>
            <w:r>
              <w:rPr>
                <w:rFonts w:hint="eastAsia" w:ascii="宋体" w:hAnsi="宋体" w:cs="宋体"/>
                <w:bCs/>
                <w:color w:val="auto"/>
                <w:sz w:val="22"/>
                <w:szCs w:val="22"/>
                <w:highlight w:val="none"/>
                <w:u w:val="single"/>
                <w:lang w:eastAsia="zh-CN"/>
              </w:rPr>
              <w:t>成交供应商</w:t>
            </w:r>
            <w:r>
              <w:rPr>
                <w:rFonts w:hint="eastAsia" w:ascii="宋体" w:hAnsi="宋体" w:cs="宋体"/>
                <w:bCs/>
                <w:color w:val="auto"/>
                <w:sz w:val="22"/>
                <w:szCs w:val="22"/>
                <w:highlight w:val="none"/>
                <w:u w:val="single"/>
              </w:rPr>
              <w:t>支付合同总额40%的预付款</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eastAsia="zh-CN"/>
              </w:rPr>
              <w:t>成交供应商</w:t>
            </w:r>
            <w:r>
              <w:rPr>
                <w:rFonts w:hint="eastAsia" w:ascii="宋体" w:hAnsi="宋体" w:eastAsia="宋体" w:cs="宋体"/>
                <w:color w:val="auto"/>
                <w:sz w:val="22"/>
                <w:szCs w:val="22"/>
                <w:highlight w:val="none"/>
                <w:u w:val="single"/>
                <w:lang w:val="zh-CN"/>
              </w:rPr>
              <w:t>完成全部供货及安装、调试</w:t>
            </w:r>
            <w:r>
              <w:rPr>
                <w:rFonts w:hint="eastAsia" w:ascii="宋体" w:hAnsi="宋体" w:cs="宋体"/>
                <w:bCs/>
                <w:color w:val="auto"/>
                <w:sz w:val="22"/>
                <w:szCs w:val="22"/>
                <w:highlight w:val="none"/>
                <w:u w:val="single"/>
                <w:lang w:val="zh-CN"/>
              </w:rPr>
              <w:t>、培训</w:t>
            </w:r>
            <w:r>
              <w:rPr>
                <w:rFonts w:hint="eastAsia" w:ascii="宋体" w:hAnsi="宋体" w:eastAsia="宋体" w:cs="宋体"/>
                <w:color w:val="auto"/>
                <w:sz w:val="22"/>
                <w:szCs w:val="22"/>
                <w:highlight w:val="none"/>
                <w:u w:val="single"/>
                <w:lang w:val="zh-CN"/>
              </w:rPr>
              <w:t>，</w:t>
            </w:r>
            <w:r>
              <w:rPr>
                <w:rFonts w:hint="eastAsia" w:ascii="宋体" w:hAnsi="宋体" w:eastAsia="宋体" w:cs="宋体"/>
                <w:color w:val="auto"/>
                <w:sz w:val="22"/>
                <w:szCs w:val="22"/>
                <w:highlight w:val="none"/>
                <w:u w:val="single"/>
              </w:rPr>
              <w:t>采购人</w:t>
            </w:r>
            <w:r>
              <w:rPr>
                <w:rFonts w:hint="eastAsia" w:ascii="宋体" w:hAnsi="宋体" w:eastAsia="宋体" w:cs="宋体"/>
                <w:color w:val="auto"/>
                <w:sz w:val="22"/>
                <w:szCs w:val="22"/>
                <w:highlight w:val="none"/>
                <w:u w:val="single"/>
                <w:lang w:val="zh-CN"/>
              </w:rPr>
              <w:t>验收合格并入库后</w:t>
            </w:r>
            <w:r>
              <w:rPr>
                <w:rFonts w:hint="eastAsia" w:ascii="宋体" w:hAnsi="宋体" w:cs="宋体"/>
                <w:bCs/>
                <w:color w:val="auto"/>
                <w:sz w:val="22"/>
                <w:szCs w:val="22"/>
                <w:highlight w:val="none"/>
                <w:u w:val="single"/>
                <w:lang w:val="zh-CN"/>
              </w:rPr>
              <w:t>，采购人支付剩余</w:t>
            </w:r>
            <w:r>
              <w:rPr>
                <w:rFonts w:hint="eastAsia" w:ascii="宋体" w:hAnsi="宋体" w:cs="宋体"/>
                <w:bCs/>
                <w:color w:val="auto"/>
                <w:sz w:val="22"/>
                <w:szCs w:val="22"/>
                <w:highlight w:val="none"/>
                <w:u w:val="single"/>
              </w:rPr>
              <w:t>60%的</w:t>
            </w:r>
            <w:r>
              <w:rPr>
                <w:rFonts w:hint="eastAsia" w:ascii="宋体" w:hAnsi="宋体" w:cs="宋体"/>
                <w:bCs/>
                <w:color w:val="auto"/>
                <w:sz w:val="22"/>
                <w:szCs w:val="22"/>
                <w:highlight w:val="none"/>
                <w:u w:val="single"/>
                <w:lang w:val="zh-CN"/>
              </w:rPr>
              <w:t>合同款并退还保函</w:t>
            </w:r>
            <w:r>
              <w:rPr>
                <w:rFonts w:hint="eastAsia" w:ascii="宋体" w:hAnsi="宋体" w:eastAsia="宋体" w:cs="宋体"/>
                <w:color w:val="auto"/>
                <w:sz w:val="22"/>
                <w:szCs w:val="22"/>
                <w:highlight w:val="none"/>
                <w:u w:val="single"/>
              </w:rPr>
              <w:t>。</w:t>
            </w:r>
          </w:p>
          <w:p>
            <w:pPr>
              <w:widowControl/>
              <w:spacing w:line="360" w:lineRule="exact"/>
              <w:jc w:val="left"/>
              <w:rPr>
                <w:rFonts w:hint="eastAsia" w:ascii="宋体" w:hAnsi="宋体" w:cs="宋体"/>
                <w:bCs/>
                <w:color w:val="auto"/>
                <w:sz w:val="22"/>
                <w:szCs w:val="22"/>
                <w:highlight w:val="none"/>
                <w:lang w:val="zh-CN"/>
              </w:rPr>
            </w:pPr>
            <w:r>
              <w:rPr>
                <w:rFonts w:hint="eastAsia" w:ascii="宋体" w:hAnsi="宋体" w:eastAsia="宋体" w:cs="宋体"/>
                <w:color w:val="auto"/>
                <w:sz w:val="22"/>
                <w:szCs w:val="22"/>
                <w:highlight w:val="none"/>
                <w:u w:val="single"/>
              </w:rPr>
              <w:t>注：在签订合同时，</w:t>
            </w:r>
            <w:r>
              <w:rPr>
                <w:rFonts w:hint="eastAsia" w:ascii="宋体" w:hAnsi="宋体" w:eastAsia="宋体" w:cs="宋体"/>
                <w:color w:val="auto"/>
                <w:sz w:val="22"/>
                <w:szCs w:val="22"/>
                <w:highlight w:val="none"/>
                <w:u w:val="single"/>
                <w:lang w:eastAsia="zh-CN"/>
              </w:rPr>
              <w:t>成交供应商</w:t>
            </w:r>
            <w:r>
              <w:rPr>
                <w:rFonts w:hint="eastAsia" w:ascii="宋体" w:hAnsi="宋体" w:eastAsia="宋体" w:cs="宋体"/>
                <w:color w:val="auto"/>
                <w:sz w:val="22"/>
                <w:szCs w:val="22"/>
                <w:highlight w:val="none"/>
                <w:u w:val="single"/>
              </w:rPr>
              <w:t>明确表示无需预付款或者主动要求降低预付款比例的，按实际比例计。</w:t>
            </w:r>
            <w:r>
              <w:rPr>
                <w:rFonts w:hint="eastAsia" w:ascii="宋体" w:hAnsi="宋体" w:eastAsia="宋体" w:cs="宋体"/>
                <w:color w:val="auto"/>
                <w:sz w:val="22"/>
                <w:szCs w:val="22"/>
                <w:highlight w:val="none"/>
                <w:u w:val="single"/>
                <w:lang w:val="zh-CN"/>
              </w:rPr>
              <w:t>采购</w:t>
            </w:r>
            <w:r>
              <w:rPr>
                <w:rFonts w:hint="eastAsia" w:ascii="宋体" w:hAnsi="宋体" w:eastAsia="宋体" w:cs="宋体"/>
                <w:color w:val="auto"/>
                <w:sz w:val="22"/>
                <w:szCs w:val="22"/>
                <w:highlight w:val="none"/>
                <w:u w:val="single"/>
                <w:lang w:val="zh-CN" w:eastAsia="zh-CN"/>
              </w:rPr>
              <w:t>人</w:t>
            </w:r>
            <w:r>
              <w:rPr>
                <w:rFonts w:hint="eastAsia" w:ascii="宋体" w:hAnsi="宋体" w:eastAsia="宋体" w:cs="宋体"/>
                <w:color w:val="auto"/>
                <w:sz w:val="22"/>
                <w:szCs w:val="22"/>
                <w:highlight w:val="none"/>
                <w:u w:val="single"/>
                <w:lang w:val="zh-CN"/>
              </w:rPr>
              <w:t>对于满足合同约定支付条件的，自收到发票后7个工作日内将资金支付到合同约定的供应商账户。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质保期</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所有产品质保期自验收之日起1年，在此质保期内，如在正常使用过程中出现的质量问题，供应商须负责免费维修、维护或升级。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交付时间</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合同签订后1个月内</w:t>
            </w:r>
            <w:r>
              <w:rPr>
                <w:rFonts w:hint="eastAsia" w:ascii="宋体" w:hAnsi="宋体" w:cs="宋体"/>
                <w:bCs/>
                <w:color w:val="auto"/>
                <w:sz w:val="22"/>
                <w:szCs w:val="22"/>
                <w:highlight w:val="none"/>
              </w:rPr>
              <w:t>交货完毕并安装调试完成。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交付地点</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温州理工学院指定地点。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服务标准</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1.质保期内因不能排除的故障而影响工作的情况每发生一次，其质保期相应延长60天，质保期内因系统本身缺陷造成各种故障应由供应商免费予以技术服务和维护，否则将扣除履约保证金作为对采购人的补偿。</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2.项目验收合格之日起，质保期内所有产品及其附属品提供质保服务。质保期内提供免费服务和软件版本的维护、升级等服务（包括远程技术服务和现场技术服务）。如出现系统漏洞的，需免费修复直到恢复正常软件功能及服务为止。质保期满后，维保服务内容及服务费由双方另行协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服务效率</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供应商提供24小时售后服务，合同出现故障后，供应商接到采购人通知应在不超过1小时内做出响应，若电话无法解决的，于24小时内到达现场实施维修，提供不间断的服务直到修复为止。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pacing w:val="-6"/>
                <w:sz w:val="22"/>
                <w:szCs w:val="22"/>
                <w:highlight w:val="none"/>
              </w:rPr>
              <w:t>验收标准</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1.验收参照《温州市政府采购履约验收办法》实施。</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2.供应商应于响应文件中提供产品的验收标准和检测办法，并在验收中提供采购人认可的相应检测手段，验收标准应符合中国有关的国家、地方、行业的标准，如若中标，经采购人确认后作为验收的依据。验收中发现产品达不到验收标准或合同规定的性能指标，成交供应商必须更换，并负担由此给采购人造成的损失，直到验收合格为止。</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3.如验收产生费用由成交供应商承担。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其他</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1.培训：</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1.1 供应商应对采购人的操作人员、维修人员免费进行培训。</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1.2 供应商应提供相应的培训计划。</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1.3 供应商应对上述内容的实现方式、地点、人数、时间在响应文件中详细说明。</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2.技术支持：</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成交供应商应及时免费提供合同产品软件的升级，免费提供合同产品新功能和应用的资料。</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3.安装调试（若需要安装调试）：</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3.1 安装地点：采购人指定地点。</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3.2 安装完成时间：接到采购人通知后在7日内完成安装和调试，如在规定的时间内由于成交供应商的原因不能完成安装和调试，成交供应商应承担由此给采购人造成的损失。</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3.3 安装标准：符合我国国家有关技术规范要求和技术标准，所有的软件和硬件必须保证同时安装到位。</w:t>
            </w:r>
          </w:p>
          <w:p>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3.4 成交供应商免费提供合同产品的安装服务。</w:t>
            </w:r>
          </w:p>
          <w:p>
            <w:pPr>
              <w:spacing w:line="360" w:lineRule="exac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3.5 成交供应商在响应文件中应提供安装调试计划、对安装场地和环境的要求。</w:t>
            </w:r>
          </w:p>
        </w:tc>
      </w:tr>
    </w:tbl>
    <w:p>
      <w:pPr>
        <w:numPr>
          <w:ilvl w:val="0"/>
          <w:numId w:val="2"/>
        </w:numPr>
        <w:snapToGrid w:val="0"/>
        <w:spacing w:line="360" w:lineRule="exact"/>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技术要求</w:t>
      </w:r>
    </w:p>
    <w:p>
      <w:pPr>
        <w:pStyle w:val="2"/>
        <w:spacing w:line="360" w:lineRule="exact"/>
        <w:ind w:leftChars="0"/>
        <w:rPr>
          <w:rFonts w:hint="eastAsia" w:ascii="宋体" w:hAnsi="宋体" w:cs="宋体"/>
          <w:color w:val="auto"/>
          <w:sz w:val="22"/>
          <w:szCs w:val="22"/>
          <w:highlight w:val="none"/>
        </w:rPr>
      </w:pPr>
      <w:r>
        <w:rPr>
          <w:rFonts w:hint="eastAsia" w:ascii="宋体" w:hAnsi="宋体" w:cs="宋体"/>
          <w:b w:val="0"/>
          <w:bCs/>
          <w:color w:val="auto"/>
          <w:spacing w:val="-6"/>
          <w:sz w:val="22"/>
          <w:szCs w:val="22"/>
          <w:highlight w:val="none"/>
        </w:rPr>
        <w:t>核心产品：</w:t>
      </w:r>
      <w:r>
        <w:rPr>
          <w:rFonts w:hint="eastAsia" w:ascii="宋体" w:hAnsi="宋体" w:cs="宋体"/>
          <w:color w:val="auto"/>
          <w:sz w:val="22"/>
          <w:szCs w:val="22"/>
          <w:highlight w:val="none"/>
        </w:rPr>
        <w:t>协作机器人视觉抓取实验平台</w:t>
      </w:r>
    </w:p>
    <w:p>
      <w:pPr>
        <w:numPr>
          <w:ilvl w:val="0"/>
          <w:numId w:val="3"/>
        </w:numPr>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设备清单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6058"/>
        <w:gridCol w:w="161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设备名称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数量</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协作机器人视觉抓取实验平台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2</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ROS移动机器人平台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3</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深度视觉传感器</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4</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ROS深度体感摄像头</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25</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5</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高精度激光雷达</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6</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激光雷达</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25</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7</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AI嵌入式开发套件</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25</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8</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AI嵌入式边缘计算盒</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9</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会议室音响套装</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10</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多媒体讲台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11</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钢架电脑桌</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26</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12</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钢架凳子</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53</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13</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椅子</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14</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大器械储物柜</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15</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货架</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16</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防静电工作台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17</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交换机</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r>
    </w:tbl>
    <w:p>
      <w:pPr>
        <w:pStyle w:val="2"/>
        <w:ind w:leftChars="0"/>
        <w:rPr>
          <w:rFonts w:hint="eastAsia"/>
          <w:color w:val="auto"/>
          <w:highlight w:val="none"/>
        </w:rPr>
      </w:pPr>
      <w:r>
        <w:rPr>
          <w:rFonts w:hint="eastAsia" w:ascii="宋体" w:hAnsi="宋体" w:cs="宋体"/>
          <w:bCs/>
          <w:color w:val="auto"/>
          <w:spacing w:val="-6"/>
          <w:sz w:val="22"/>
          <w:szCs w:val="22"/>
          <w:highlight w:val="none"/>
        </w:rPr>
        <w:t>（二）设备技术要求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47"/>
        <w:gridCol w:w="7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设备名称</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b/>
                <w:color w:val="auto"/>
                <w:spacing w:val="-6"/>
                <w:sz w:val="22"/>
                <w:szCs w:val="22"/>
                <w:highlight w:val="none"/>
                <w:u w:val="single"/>
              </w:rPr>
              <w:t>▲</w:t>
            </w:r>
            <w:r>
              <w:rPr>
                <w:rFonts w:hint="eastAsia" w:ascii="宋体" w:hAnsi="宋体" w:cs="宋体"/>
                <w:color w:val="auto"/>
                <w:sz w:val="22"/>
                <w:szCs w:val="22"/>
                <w:highlight w:val="none"/>
                <w:u w:val="single"/>
              </w:rPr>
              <w:t>协作机器人视觉抓取实验平台</w:t>
            </w:r>
          </w:p>
        </w:tc>
        <w:tc>
          <w:tcPr>
            <w:tcW w:w="7680" w:type="dxa"/>
            <w:tcBorders>
              <w:top w:val="single" w:color="auto" w:sz="4" w:space="0"/>
              <w:left w:val="single" w:color="auto" w:sz="4" w:space="0"/>
              <w:bottom w:val="single" w:color="auto" w:sz="4" w:space="0"/>
              <w:right w:val="single" w:color="auto" w:sz="4" w:space="0"/>
            </w:tcBorders>
            <w:noWrap w:val="0"/>
            <w:vAlign w:val="center"/>
          </w:tcPr>
          <w:tbl>
            <w:tblPr>
              <w:tblStyle w:val="9"/>
              <w:tblW w:w="7318" w:type="dxa"/>
              <w:tblInd w:w="0" w:type="dxa"/>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70"/>
              <w:gridCol w:w="1164"/>
              <w:gridCol w:w="932"/>
              <w:gridCol w:w="4252"/>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0"/>
                  <w:vAlign w:val="top"/>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模块</w:t>
                  </w:r>
                </w:p>
              </w:tc>
              <w:tc>
                <w:tcPr>
                  <w:tcW w:w="795" w:type="pct"/>
                  <w:noWrap w:val="0"/>
                  <w:vAlign w:val="top"/>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名称</w:t>
                  </w:r>
                </w:p>
              </w:tc>
              <w:tc>
                <w:tcPr>
                  <w:tcW w:w="637" w:type="pct"/>
                  <w:noWrap w:val="0"/>
                  <w:vAlign w:val="top"/>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类型</w:t>
                  </w:r>
                </w:p>
              </w:tc>
              <w:tc>
                <w:tcPr>
                  <w:tcW w:w="2904" w:type="pct"/>
                  <w:noWrap w:val="0"/>
                  <w:vAlign w:val="top"/>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技术指标</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六关节协作机器人</w:t>
                  </w:r>
                </w:p>
              </w:tc>
              <w:tc>
                <w:tcPr>
                  <w:tcW w:w="637" w:type="pct"/>
                  <w:noWrap w:val="0"/>
                  <w:vAlign w:val="center"/>
                </w:tcPr>
                <w:p>
                  <w:pPr>
                    <w:snapToGrid w:val="0"/>
                    <w:rPr>
                      <w:rFonts w:hint="eastAsia" w:ascii="宋体" w:hAnsi="宋体" w:cs="宋体"/>
                      <w:color w:val="auto"/>
                      <w:sz w:val="22"/>
                      <w:szCs w:val="22"/>
                      <w:highlight w:val="none"/>
                      <w:u w:val="single"/>
                    </w:rPr>
                  </w:pP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有效负载：5KG</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有效工作半径:850mm</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控制箱I/O端口：</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数字量输入16、数字量输出 16</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模拟量输入 2、模拟量输出 2</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通讯支持：TCP/IP 100 Mbit: IEEE 802.3u， 100BASE-TX</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以太网接口&amp; Modbus TCP</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IP级别：IP54</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vMerge w:val="restar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机器人实验平台</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机器人移动工作平台</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长宽高尺寸：800mm*800mm*800mm</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材质：铝合金</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vMerge w:val="continue"/>
                  <w:noWrap w:val="0"/>
                  <w:vAlign w:val="center"/>
                </w:tcPr>
                <w:p>
                  <w:pPr>
                    <w:snapToGrid w:val="0"/>
                    <w:rPr>
                      <w:rFonts w:hint="eastAsia" w:ascii="宋体" w:hAnsi="宋体" w:cs="宋体"/>
                      <w:color w:val="auto"/>
                      <w:sz w:val="22"/>
                      <w:szCs w:val="22"/>
                      <w:highlight w:val="none"/>
                      <w:u w:val="single"/>
                    </w:rPr>
                  </w:pP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产品取放料实验治具</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可阵列放置 25mm*25mm*25mm的实验料块</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vMerge w:val="restar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机器人电夹爪</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伺服电夹爪</w:t>
                  </w:r>
                </w:p>
              </w:tc>
              <w:tc>
                <w:tcPr>
                  <w:tcW w:w="637" w:type="pct"/>
                  <w:noWrap w:val="0"/>
                  <w:vAlign w:val="center"/>
                </w:tcPr>
                <w:p>
                  <w:pPr>
                    <w:snapToGrid w:val="0"/>
                    <w:rPr>
                      <w:rFonts w:hint="eastAsia" w:ascii="宋体" w:hAnsi="宋体" w:cs="宋体"/>
                      <w:color w:val="auto"/>
                      <w:sz w:val="22"/>
                      <w:szCs w:val="22"/>
                      <w:highlight w:val="none"/>
                      <w:u w:val="single"/>
                    </w:rPr>
                  </w:pP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可调整行程 0-90mm；</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可调整夹力 80N；</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位置重复精度 ±0.02mm</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可与UR直连，通过UR机器人控制</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vMerge w:val="continue"/>
                  <w:noWrap w:val="0"/>
                  <w:vAlign w:val="center"/>
                </w:tcPr>
                <w:p>
                  <w:pPr>
                    <w:snapToGrid w:val="0"/>
                    <w:rPr>
                      <w:rFonts w:hint="eastAsia" w:ascii="宋体" w:hAnsi="宋体" w:cs="宋体"/>
                      <w:color w:val="auto"/>
                      <w:sz w:val="22"/>
                      <w:szCs w:val="22"/>
                      <w:highlight w:val="none"/>
                      <w:u w:val="single"/>
                    </w:rPr>
                  </w:pP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机器人转接板</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可配合UR机器人和电爪的安装孔位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vMerge w:val="continue"/>
                  <w:noWrap w:val="0"/>
                  <w:vAlign w:val="center"/>
                </w:tcPr>
                <w:p>
                  <w:pPr>
                    <w:snapToGrid w:val="0"/>
                    <w:rPr>
                      <w:rFonts w:hint="eastAsia" w:ascii="宋体" w:hAnsi="宋体" w:cs="宋体"/>
                      <w:color w:val="auto"/>
                      <w:sz w:val="22"/>
                      <w:szCs w:val="22"/>
                      <w:highlight w:val="none"/>
                      <w:u w:val="single"/>
                    </w:rPr>
                  </w:pP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定制夹爪头</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定制铝合金夹爪头 一对可夹取25mm*25mm*25mm的实验料块</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力传感器</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机器人六维力传感器</w:t>
                  </w:r>
                </w:p>
              </w:tc>
              <w:tc>
                <w:tcPr>
                  <w:tcW w:w="637" w:type="pct"/>
                  <w:noWrap w:val="0"/>
                  <w:vAlign w:val="center"/>
                </w:tcPr>
                <w:p>
                  <w:pPr>
                    <w:snapToGrid w:val="0"/>
                    <w:rPr>
                      <w:rFonts w:hint="eastAsia" w:ascii="宋体" w:hAnsi="宋体" w:cs="宋体"/>
                      <w:color w:val="auto"/>
                      <w:sz w:val="22"/>
                      <w:szCs w:val="22"/>
                      <w:highlight w:val="none"/>
                      <w:u w:val="single"/>
                    </w:rPr>
                  </w:pP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 xml:space="preserve">FX FY FZ MX MY MZ </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六维力传感器</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力检测范围 ±300N</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噪声 0.1 N</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力矩检测范围 ±30Nm</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管线包</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管线包</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 xml:space="preserve">与机器人配套 </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口径≥29mm</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工控机</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GPU工作站</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组装</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CPU：14核28线程2.4G三级缓存35M LGA2011-3    数量2</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内存：32G DDR4       数量1</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硬盘：250G 固态      数量1</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芯片组：Intel C612   数量1</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电源：2000W          数量1</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显卡：支持NVIDIA架构GPU，显存≥12G，显存位宽≥192，基础频率1320-1777MHz，支持CUDA数量≥3584                 数量4</w:t>
                  </w:r>
                  <w:r>
                    <w:rPr>
                      <w:rFonts w:hint="eastAsia" w:ascii="宋体" w:hAnsi="宋体" w:cs="宋体"/>
                      <w:color w:val="auto"/>
                      <w:sz w:val="22"/>
                      <w:szCs w:val="22"/>
                      <w:highlight w:val="none"/>
                      <w:u w:val="single"/>
                    </w:rPr>
                    <w:br w:type="textWrapping"/>
                  </w:r>
                  <w:r>
                    <w:rPr>
                      <w:rFonts w:hint="eastAsia" w:ascii="宋体" w:hAnsi="宋体" w:cs="宋体"/>
                      <w:color w:val="auto"/>
                      <w:sz w:val="22"/>
                      <w:szCs w:val="22"/>
                      <w:highlight w:val="none"/>
                      <w:u w:val="single"/>
                    </w:rPr>
                    <w:t>24寸IPS显示器+键盘鼠标</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视觉定位抓取系统</w:t>
                  </w:r>
                </w:p>
              </w:tc>
              <w:tc>
                <w:tcPr>
                  <w:tcW w:w="795"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机器人2D视觉引导系统</w:t>
                  </w:r>
                </w:p>
              </w:tc>
              <w:tc>
                <w:tcPr>
                  <w:tcW w:w="637"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定制</w:t>
                  </w: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相机：</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1.分辨率≥500万像素</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2.彩色</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镜头：8mm</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软件：</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1.准确识别无序摆放的物件的实际位置</w:t>
                  </w:r>
                </w:p>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基于UR+平台开发，与UR机器人直接进2、行通信与控制，实现准确抓取功能。</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62" w:type="pct"/>
                  <w:noWrap/>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电脑桌</w:t>
                  </w:r>
                </w:p>
              </w:tc>
              <w:tc>
                <w:tcPr>
                  <w:tcW w:w="795" w:type="pct"/>
                  <w:noWrap w:val="0"/>
                  <w:vAlign w:val="center"/>
                </w:tcPr>
                <w:p>
                  <w:pPr>
                    <w:snapToGrid w:val="0"/>
                    <w:rPr>
                      <w:rFonts w:hint="eastAsia" w:ascii="宋体" w:hAnsi="宋体" w:cs="宋体"/>
                      <w:color w:val="auto"/>
                      <w:sz w:val="22"/>
                      <w:szCs w:val="22"/>
                      <w:highlight w:val="none"/>
                      <w:u w:val="single"/>
                    </w:rPr>
                  </w:pPr>
                </w:p>
              </w:tc>
              <w:tc>
                <w:tcPr>
                  <w:tcW w:w="637" w:type="pct"/>
                  <w:noWrap w:val="0"/>
                  <w:vAlign w:val="center"/>
                </w:tcPr>
                <w:p>
                  <w:pPr>
                    <w:snapToGrid w:val="0"/>
                    <w:rPr>
                      <w:rFonts w:hint="eastAsia" w:ascii="宋体" w:hAnsi="宋体" w:cs="宋体"/>
                      <w:color w:val="auto"/>
                      <w:sz w:val="22"/>
                      <w:szCs w:val="22"/>
                      <w:highlight w:val="none"/>
                      <w:u w:val="single"/>
                    </w:rPr>
                  </w:pPr>
                </w:p>
              </w:tc>
              <w:tc>
                <w:tcPr>
                  <w:tcW w:w="2904" w:type="pct"/>
                  <w:noWrap w:val="0"/>
                  <w:vAlign w:val="center"/>
                </w:tcPr>
                <w:p>
                  <w:pPr>
                    <w:snapToGrid w:val="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长宽高尺寸：140*60*75cm，桌面厚度5cm，带抽屉柜，E1级颗粒板，甲醛排放符合国家安全标准。</w:t>
                  </w:r>
                </w:p>
                <w:p>
                  <w:pPr>
                    <w:pStyle w:val="5"/>
                    <w:ind w:firstLine="0" w:firstLineChars="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drawing>
                      <wp:inline distT="0" distB="0" distL="114300" distR="114300">
                        <wp:extent cx="1847215" cy="1495425"/>
                        <wp:effectExtent l="0" t="0" r="63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847215" cy="1495425"/>
                                </a:xfrm>
                                <a:prstGeom prst="rect">
                                  <a:avLst/>
                                </a:prstGeom>
                                <a:noFill/>
                                <a:ln>
                                  <a:noFill/>
                                </a:ln>
                              </pic:spPr>
                            </pic:pic>
                          </a:graphicData>
                        </a:graphic>
                      </wp:inline>
                    </w:drawing>
                  </w:r>
                </w:p>
              </w:tc>
            </w:tr>
          </w:tbl>
          <w:p>
            <w:pPr>
              <w:pStyle w:val="5"/>
              <w:ind w:firstLine="0" w:firstLineChars="0"/>
              <w:rPr>
                <w:rFonts w:hint="eastAsia" w:ascii="宋体" w:hAnsi="宋体" w:cs="宋体"/>
                <w:color w:val="auto"/>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2</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ROS移动机器人平台</w:t>
            </w:r>
          </w:p>
        </w:tc>
        <w:tc>
          <w:tcPr>
            <w:tcW w:w="7680" w:type="dxa"/>
            <w:tcBorders>
              <w:top w:val="single" w:color="auto" w:sz="4" w:space="0"/>
              <w:left w:val="single" w:color="auto" w:sz="4" w:space="0"/>
              <w:bottom w:val="single" w:color="auto" w:sz="4" w:space="0"/>
              <w:right w:val="single" w:color="auto" w:sz="4" w:space="0"/>
            </w:tcBorders>
            <w:noWrap w:val="0"/>
            <w:vAlign w:val="center"/>
          </w:tcPr>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5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b/>
                      <w:bCs/>
                      <w:color w:val="auto"/>
                      <w:sz w:val="22"/>
                      <w:szCs w:val="22"/>
                      <w:highlight w:val="none"/>
                    </w:rPr>
                  </w:pPr>
                  <w:r>
                    <w:rPr>
                      <w:rFonts w:hint="eastAsia" w:ascii="宋体" w:hAnsi="宋体" w:cs="宋体"/>
                      <w:b/>
                      <w:bCs/>
                      <w:color w:val="auto"/>
                      <w:sz w:val="22"/>
                      <w:szCs w:val="22"/>
                      <w:highlight w:val="none"/>
                    </w:rPr>
                    <w:t>底盘总成-结构尺寸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外形尺寸</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530x440x300mm，偏差±5</w:t>
                  </w:r>
                  <w:r>
                    <w:rPr>
                      <w:rFonts w:ascii="宋体"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驱动方式</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麦克纳姆轮四轮独立驱动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动力系统</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M3508减速电机套装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减震方式</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四轮独立悬挂减震系统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离地间隙</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爬坡能力</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制动时间</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转弯半径</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轮径</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152mm麦克纳姆轮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移动速度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4m/s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额定负载</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整机重量</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&lt;20kg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续航(空载)</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续航(满载)</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适应地形</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水泥、沥青等非光滑路面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b/>
                      <w:bCs/>
                      <w:color w:val="auto"/>
                      <w:sz w:val="22"/>
                      <w:szCs w:val="22"/>
                      <w:highlight w:val="none"/>
                    </w:rPr>
                  </w:pPr>
                  <w:r>
                    <w:rPr>
                      <w:rFonts w:hint="eastAsia" w:ascii="宋体" w:hAnsi="宋体" w:cs="宋体"/>
                      <w:b/>
                      <w:bCs/>
                      <w:color w:val="auto"/>
                      <w:sz w:val="22"/>
                      <w:szCs w:val="22"/>
                      <w:highlight w:val="none"/>
                    </w:rPr>
                    <w:t>底盘总成-直流无刷减速电机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外径</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总长度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98mm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减速比</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额定电压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转矩常数</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0.3N·m/A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转速常数</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24.48rpm/V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空载转速</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480rpm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最大持续扭矩</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3N·m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最大持续功率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额定工况最大转速</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460rpm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输出轴</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D型螺纹 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使用环境温度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电机重量</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365g，偏差±</w:t>
                  </w:r>
                  <w:r>
                    <w:rPr>
                      <w:rFonts w:ascii="宋体" w:hAnsi="宋体" w:cs="宋体"/>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b/>
                      <w:bCs/>
                      <w:color w:val="auto"/>
                      <w:sz w:val="22"/>
                      <w:szCs w:val="22"/>
                      <w:highlight w:val="none"/>
                    </w:rPr>
                  </w:pPr>
                  <w:r>
                    <w:rPr>
                      <w:rFonts w:hint="eastAsia" w:ascii="宋体" w:hAnsi="宋体" w:cs="宋体"/>
                      <w:b/>
                      <w:bCs/>
                      <w:color w:val="auto"/>
                      <w:sz w:val="22"/>
                      <w:szCs w:val="22"/>
                      <w:highlight w:val="none"/>
                    </w:rPr>
                    <w:t>底盘总成-直流无刷减速电机驱动器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信号类型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CAN PWM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PWM信号频率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50-500Hz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CAN总线速率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 xml:space="preserve">1Mbps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最大允许电流</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最大持续电流</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堵转电流</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堵转扭矩</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4.5N·m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最大效率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空载电流</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0.78A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额定电压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尺寸</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49*25*11mm，偏差±</w:t>
                  </w:r>
                  <w:r>
                    <w:rPr>
                      <w:rFonts w:ascii="宋体" w:hAnsi="宋体" w:cs="宋体"/>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b/>
                      <w:bCs/>
                      <w:color w:val="auto"/>
                      <w:sz w:val="22"/>
                      <w:szCs w:val="22"/>
                      <w:highlight w:val="none"/>
                    </w:rPr>
                  </w:pPr>
                  <w:r>
                    <w:rPr>
                      <w:rFonts w:hint="eastAsia" w:ascii="宋体" w:hAnsi="宋体" w:cs="宋体"/>
                      <w:b/>
                      <w:bCs/>
                      <w:color w:val="auto"/>
                      <w:sz w:val="22"/>
                      <w:szCs w:val="22"/>
                      <w:highlight w:val="none"/>
                    </w:rPr>
                    <w:t>底盘总成-智能电池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使用环境温度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额定容量</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10000 mAh  240Wh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充电限制</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25.2V 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标准电压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auto"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电池保护</w:t>
                  </w:r>
                </w:p>
              </w:tc>
              <w:tc>
                <w:tcPr>
                  <w:tcW w:w="3522" w:type="pct"/>
                  <w:tcBorders>
                    <w:top w:val="single" w:color="000000" w:sz="8" w:space="0"/>
                    <w:left w:val="single" w:color="000000" w:sz="8" w:space="0"/>
                    <w:bottom w:val="single" w:color="auto"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过充保护、过放保护、过温保护</w:t>
                  </w:r>
                </w:p>
                <w:p>
                  <w:pPr>
                    <w:rPr>
                      <w:rFonts w:ascii="宋体" w:hAnsi="宋体" w:cs="宋体"/>
                      <w:color w:val="auto"/>
                      <w:sz w:val="22"/>
                      <w:szCs w:val="22"/>
                      <w:highlight w:val="none"/>
                    </w:rPr>
                  </w:pPr>
                  <w:r>
                    <w:rPr>
                      <w:rFonts w:hint="eastAsia" w:ascii="宋体" w:hAnsi="宋体" w:cs="宋体"/>
                      <w:color w:val="auto"/>
                      <w:sz w:val="22"/>
                      <w:szCs w:val="22"/>
                      <w:highlight w:val="none"/>
                    </w:rPr>
                    <w:t>短路保护、过流保护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b/>
                      <w:bCs/>
                      <w:color w:val="auto"/>
                      <w:sz w:val="22"/>
                      <w:szCs w:val="22"/>
                      <w:highlight w:val="none"/>
                    </w:rPr>
                  </w:pPr>
                  <w:r>
                    <w:rPr>
                      <w:rFonts w:hint="eastAsia" w:ascii="宋体" w:hAnsi="宋体" w:cs="宋体"/>
                      <w:b/>
                      <w:bCs/>
                      <w:color w:val="auto"/>
                      <w:sz w:val="22"/>
                      <w:szCs w:val="22"/>
                      <w:highlight w:val="none"/>
                    </w:rPr>
                    <w:t>控制系统-运算平台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处理器型号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Intel Core i5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核心/线程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四核八线程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TDP功耗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28W，偏差±5</w:t>
                  </w:r>
                  <w:r>
                    <w:rPr>
                      <w:rFonts w:ascii="宋体"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主频</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 xml:space="preserve">主频2.3GHz 睿频3.8GHz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内存</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8G 支持DDR4-2133 2400等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硬盘接口</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128 G 支持SATA/Nvme SSD、MicroSD等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显示核心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Intel Iris Plus Graphics 655 300Mhz-1.05Ghz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视频输出</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HDMI 2.0*1, USB Type-C接☐(支持DP1.2)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USB接口</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2*前端USB3.1</w:t>
                  </w:r>
                </w:p>
                <w:p>
                  <w:pPr>
                    <w:rPr>
                      <w:rFonts w:ascii="宋体" w:hAnsi="宋体" w:cs="宋体"/>
                      <w:color w:val="auto"/>
                      <w:sz w:val="22"/>
                      <w:szCs w:val="22"/>
                      <w:highlight w:val="none"/>
                    </w:rPr>
                  </w:pPr>
                  <w:r>
                    <w:rPr>
                      <w:rFonts w:hint="eastAsia" w:ascii="宋体" w:hAnsi="宋体" w:cs="宋体"/>
                      <w:color w:val="auto"/>
                      <w:sz w:val="22"/>
                      <w:szCs w:val="22"/>
                      <w:highlight w:val="none"/>
                    </w:rPr>
                    <w:t>2*后端USB3.1,</w:t>
                  </w:r>
                </w:p>
                <w:p>
                  <w:pPr>
                    <w:rPr>
                      <w:rFonts w:ascii="宋体" w:hAnsi="宋体" w:cs="宋体"/>
                      <w:color w:val="auto"/>
                      <w:sz w:val="22"/>
                      <w:szCs w:val="22"/>
                      <w:highlight w:val="none"/>
                    </w:rPr>
                  </w:pPr>
                  <w:r>
                    <w:rPr>
                      <w:rFonts w:hint="eastAsia" w:ascii="宋体" w:hAnsi="宋体" w:cs="宋体"/>
                      <w:color w:val="auto"/>
                      <w:sz w:val="22"/>
                      <w:szCs w:val="22"/>
                      <w:highlight w:val="none"/>
                    </w:rPr>
                    <w:t>1*Type-C（雷电）</w:t>
                  </w:r>
                </w:p>
                <w:p>
                  <w:pPr>
                    <w:rPr>
                      <w:rFonts w:ascii="宋体" w:hAnsi="宋体" w:cs="宋体"/>
                      <w:color w:val="auto"/>
                      <w:sz w:val="22"/>
                      <w:szCs w:val="22"/>
                      <w:highlight w:val="none"/>
                    </w:rPr>
                  </w:pPr>
                  <w:r>
                    <w:rPr>
                      <w:rFonts w:hint="eastAsia" w:ascii="宋体" w:hAnsi="宋体" w:cs="宋体"/>
                      <w:color w:val="auto"/>
                      <w:sz w:val="22"/>
                      <w:szCs w:val="22"/>
                      <w:highlight w:val="none"/>
                    </w:rPr>
                    <w:t>2*内部USB2.0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网络</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 xml:space="preserve">RJ45 英特尔i219-v 10/100/1000 Mbs </w:t>
                  </w:r>
                </w:p>
                <w:p>
                  <w:pPr>
                    <w:rPr>
                      <w:rFonts w:ascii="宋体" w:hAnsi="宋体" w:cs="宋体"/>
                      <w:color w:val="auto"/>
                      <w:sz w:val="22"/>
                      <w:szCs w:val="22"/>
                      <w:highlight w:val="none"/>
                    </w:rPr>
                  </w:pPr>
                  <w:r>
                    <w:rPr>
                      <w:rFonts w:hint="eastAsia" w:ascii="宋体" w:hAnsi="宋体" w:cs="宋体"/>
                      <w:color w:val="auto"/>
                      <w:sz w:val="22"/>
                      <w:szCs w:val="22"/>
                      <w:highlight w:val="none"/>
                    </w:rPr>
                    <w:t>WIFI英特尔Wireless- AC 9560无线</w:t>
                  </w:r>
                </w:p>
                <w:p>
                  <w:pPr>
                    <w:rPr>
                      <w:rFonts w:ascii="宋体" w:hAnsi="宋体" w:cs="宋体"/>
                      <w:color w:val="auto"/>
                      <w:sz w:val="22"/>
                      <w:szCs w:val="22"/>
                      <w:highlight w:val="none"/>
                    </w:rPr>
                  </w:pPr>
                  <w:r>
                    <w:rPr>
                      <w:rFonts w:hint="eastAsia" w:ascii="宋体" w:hAnsi="宋体" w:cs="宋体"/>
                      <w:color w:val="auto"/>
                      <w:sz w:val="22"/>
                      <w:szCs w:val="22"/>
                      <w:highlight w:val="none"/>
                    </w:rPr>
                    <w:t xml:space="preserve">IEEE 802.11ac 2*2 </w:t>
                  </w:r>
                </w:p>
                <w:p>
                  <w:pPr>
                    <w:rPr>
                      <w:rFonts w:ascii="宋体" w:hAnsi="宋体" w:cs="宋体"/>
                      <w:color w:val="auto"/>
                      <w:sz w:val="22"/>
                      <w:szCs w:val="22"/>
                      <w:highlight w:val="none"/>
                    </w:rPr>
                  </w:pPr>
                  <w:r>
                    <w:rPr>
                      <w:rFonts w:hint="eastAsia" w:ascii="宋体" w:hAnsi="宋体" w:cs="宋体"/>
                      <w:color w:val="auto"/>
                      <w:sz w:val="22"/>
                      <w:szCs w:val="22"/>
                      <w:highlight w:val="none"/>
                    </w:rPr>
                    <w:t>蓝牙5.0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电源供电</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19V, 90W, AC-DC电源适配器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尺寸</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117*112</w:t>
                  </w:r>
                  <w:r>
                    <w:rPr>
                      <w:rFonts w:hint="eastAsia" w:ascii="宋体" w:hAnsi="宋体" w:cs="宋体"/>
                      <w:color w:val="auto"/>
                      <w:sz w:val="24"/>
                      <w:szCs w:val="24"/>
                      <w:highlight w:val="none"/>
                      <w:lang w:val="en-US" w:eastAsia="zh-CN"/>
                    </w:rPr>
                    <w:t>mm</w:t>
                  </w:r>
                  <w:r>
                    <w:rPr>
                      <w:rFonts w:hint="eastAsia" w:ascii="宋体" w:hAnsi="宋体" w:cs="宋体"/>
                      <w:color w:val="auto"/>
                      <w:sz w:val="22"/>
                      <w:szCs w:val="22"/>
                      <w:highlight w:val="none"/>
                    </w:rPr>
                    <w:t>，偏差±</w:t>
                  </w:r>
                  <w:r>
                    <w:rPr>
                      <w:rFonts w:ascii="宋体" w:hAnsi="宋体" w:cs="宋体"/>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top"/>
                </w:tcPr>
                <w:p>
                  <w:pPr>
                    <w:rPr>
                      <w:rFonts w:ascii="宋体" w:hAnsi="宋体" w:cs="宋体"/>
                      <w:color w:val="auto"/>
                      <w:sz w:val="22"/>
                      <w:szCs w:val="22"/>
                      <w:highlight w:val="none"/>
                    </w:rPr>
                  </w:pPr>
                  <w:r>
                    <w:rPr>
                      <w:rFonts w:hint="eastAsia" w:ascii="宋体" w:hAnsi="宋体" w:cs="宋体"/>
                      <w:b/>
                      <w:bCs/>
                      <w:color w:val="auto"/>
                      <w:sz w:val="22"/>
                      <w:szCs w:val="22"/>
                      <w:highlight w:val="none"/>
                    </w:rPr>
                    <w:t>控制系统-TBCUBE控制器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主控芯片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STM32F4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供电电压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&lt;26V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最大允许输入电流</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尺寸</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&lt;100×70×20mm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CAN接口</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CAN1/CAN2各2个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电源输入接口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电源输出接口</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IMU</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UART</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SPI</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 xml:space="preserve">DBUS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RS485</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SWD </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WS2812</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控制系统-远距离遥控器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工作频率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特性</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7通道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通信距离</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开阔室外 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工作电流/电压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120mA/3.7V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电池</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3.7V 2000mAh锂电池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DR16接收器特性</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2.4GHz D-BUS协议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接收灵敏度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（1%PER）-97dBm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工作电流/电压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145mA/5V，偏差±</w:t>
                  </w:r>
                  <w:r>
                    <w:rPr>
                      <w:rFonts w:ascii="宋体" w:hAnsi="宋体" w:cs="宋体"/>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电源</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4-8.4V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top"/>
                </w:tcPr>
                <w:p>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感知系统-激光传感器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激光波长</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905nm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激光等级</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CLASS1,人眼安全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扫描角度</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测量误差</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90%反射率测量距离</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0.5m~30m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10%反射率最大距离</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防护等级</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IP67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角度分辨率</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rPr>
                      <w:rFonts w:ascii="宋体" w:hAnsi="宋体" w:cs="宋体"/>
                      <w:color w:val="auto"/>
                      <w:sz w:val="22"/>
                      <w:szCs w:val="22"/>
                      <w:highlight w:val="none"/>
                    </w:rPr>
                  </w:pPr>
                  <w:r>
                    <w:rPr>
                      <w:rFonts w:hint="eastAsia" w:ascii="宋体" w:hAnsi="宋体" w:cs="宋体"/>
                      <w:color w:val="auto"/>
                      <w:sz w:val="22"/>
                      <w:szCs w:val="22"/>
                      <w:highlight w:val="none"/>
                    </w:rPr>
                    <w:t>0.0625° 10Hz</w:t>
                  </w:r>
                </w:p>
                <w:p>
                  <w:pPr>
                    <w:rPr>
                      <w:rFonts w:ascii="宋体" w:hAnsi="宋体" w:cs="宋体"/>
                      <w:color w:val="auto"/>
                      <w:sz w:val="22"/>
                      <w:szCs w:val="22"/>
                      <w:highlight w:val="none"/>
                    </w:rPr>
                  </w:pPr>
                  <w:r>
                    <w:rPr>
                      <w:rFonts w:hint="eastAsia" w:ascii="宋体" w:hAnsi="宋体" w:cs="宋体"/>
                      <w:color w:val="auto"/>
                      <w:sz w:val="22"/>
                      <w:szCs w:val="22"/>
                      <w:highlight w:val="none"/>
                    </w:rPr>
                    <w:t>0.125° 20Hz</w:t>
                  </w:r>
                </w:p>
                <w:p>
                  <w:pPr>
                    <w:rPr>
                      <w:rFonts w:ascii="宋体" w:hAnsi="宋体" w:cs="宋体"/>
                      <w:color w:val="auto"/>
                      <w:sz w:val="22"/>
                      <w:szCs w:val="22"/>
                      <w:highlight w:val="none"/>
                    </w:rPr>
                  </w:pPr>
                  <w:r>
                    <w:rPr>
                      <w:rFonts w:hint="eastAsia" w:ascii="宋体" w:hAnsi="宋体" w:cs="宋体"/>
                      <w:color w:val="auto"/>
                      <w:sz w:val="22"/>
                      <w:szCs w:val="22"/>
                      <w:highlight w:val="none"/>
                    </w:rPr>
                    <w:t>0.25° 30Hz</w:t>
                  </w:r>
                </w:p>
                <w:p>
                  <w:pPr>
                    <w:snapToGrid w:val="0"/>
                    <w:rPr>
                      <w:rFonts w:ascii="宋体" w:hAnsi="宋体" w:cs="宋体"/>
                      <w:color w:val="auto"/>
                      <w:sz w:val="22"/>
                      <w:szCs w:val="22"/>
                      <w:highlight w:val="none"/>
                    </w:rPr>
                  </w:pPr>
                  <w:r>
                    <w:rPr>
                      <w:rFonts w:hint="eastAsia" w:ascii="宋体" w:hAnsi="宋体" w:cs="宋体"/>
                      <w:color w:val="auto"/>
                      <w:sz w:val="22"/>
                      <w:szCs w:val="22"/>
                      <w:highlight w:val="none"/>
                    </w:rPr>
                    <w:t>0.5°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数据接口</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百兆网口 10/100Mbit/s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工作电压</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10-28V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整机功耗</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抗环境光能力</w:t>
                  </w:r>
                </w:p>
              </w:tc>
              <w:tc>
                <w:tcPr>
                  <w:tcW w:w="3522" w:type="pct"/>
                  <w:tcBorders>
                    <w:top w:val="single" w:color="000000" w:sz="8" w:space="0"/>
                    <w:left w:val="single" w:color="000000" w:sz="8" w:space="0"/>
                    <w:bottom w:val="single" w:color="000000" w:sz="8" w:space="0"/>
                    <w:right w:val="single" w:color="000000" w:sz="8" w:space="0"/>
                  </w:tcBorders>
                  <w:noWrap w:val="0"/>
                  <w:vAlign w:val="bottom"/>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≥80000Lx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感知系统-深度RGBD相机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深度技术</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双目红外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图像传感器技术</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卷帘快门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深度视场角</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深度分辨率</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1280×720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深度精度</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2米内&lt;2%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景深速率</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90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RCB传感器技术</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卷帘门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RGB传感器分辨率</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2 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RGB帧速率和分辨率</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30 fps下1920×1080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RGB传感器</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69 ×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开发套件-ROS2GO随身系统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材质</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容量</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接口</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系统</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Ubuntu18.04+ ROS Melodic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启动方式</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自主研发混合启动模式，支持UEFI启动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预装功能包</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TIANBOT、TIANRACER、Turtlebot、Movelt、Hector、Gmapping、OpenNI、Cartographer等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预装软件</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VScode、Arduino、QQ、WPS、Sougou、Gimp等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激光雷达</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傲视智绘、思岚、北阳、西克等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深度摄像头</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Realsense、华硕、奧比中光、Kinect等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2"/>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开发套件-其他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8"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调试工具</w:t>
                  </w:r>
                </w:p>
              </w:tc>
              <w:tc>
                <w:tcPr>
                  <w:tcW w:w="3522" w:type="pct"/>
                  <w:tcBorders>
                    <w:top w:val="single" w:color="000000" w:sz="8" w:space="0"/>
                    <w:left w:val="single" w:color="000000" w:sz="8" w:space="0"/>
                    <w:bottom w:val="single" w:color="000000" w:sz="8" w:space="0"/>
                    <w:right w:val="single" w:color="000000" w:sz="8" w:space="0"/>
                  </w:tcBorders>
                  <w:noWrap w:val="0"/>
                  <w:vAlign w:val="center"/>
                </w:tcPr>
                <w:p>
                  <w:pPr>
                    <w:snapToGrid w:val="0"/>
                    <w:rPr>
                      <w:rFonts w:ascii="宋体" w:hAnsi="宋体" w:cs="宋体"/>
                      <w:color w:val="auto"/>
                      <w:sz w:val="22"/>
                      <w:szCs w:val="22"/>
                      <w:highlight w:val="none"/>
                    </w:rPr>
                  </w:pPr>
                  <w:r>
                    <w:rPr>
                      <w:rFonts w:hint="eastAsia" w:ascii="宋体" w:hAnsi="宋体" w:cs="宋体"/>
                      <w:color w:val="auto"/>
                      <w:sz w:val="22"/>
                      <w:szCs w:val="22"/>
                      <w:highlight w:val="none"/>
                    </w:rPr>
                    <w:t>屏幕、键鼠套装、智能充电器</w:t>
                  </w:r>
                </w:p>
              </w:tc>
            </w:tr>
          </w:tbl>
          <w:p>
            <w:pPr>
              <w:pStyle w:val="5"/>
              <w:ind w:firstLine="0" w:firstLineChars="0"/>
              <w:rPr>
                <w:rFonts w:hint="eastAsia"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3</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深度视觉传感器</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视频输出：2K@15fps、1080P@30fps、720P@60fps、WVGA@100fps</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深度范围：0.2-20m</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陀螺仪：有；加速度计：有；IMU：有；对象跟踪：是；</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骨骼追踪：18x人体关键点、最大15范围</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光圈：f/1.8</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快门同步：电子同步卷帘门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4</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ROS深度体感摄像头</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★3D技术：ORBBEC单目结构光</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★工作范围：0.6-8m</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★精度：1m±3mm</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★分辨率@帧率：1280x1024@7fps、640x480@30fps、320x240@30fps、160x120@30fps</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★UVC：支持</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★支持操作系统：安卓/Linux/Windows</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★数据接口：USB2.0</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★麦克风：双声道立体声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5</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高精度激光雷达</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最大测量半径：30m</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最大测量频率：32000次/s</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最大扫描频率：15Hz</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适用场景：室内/室外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6</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激光雷达</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★最大测量半径：12m</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★最大测量频率：8000次/s</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★最大扫描频率：10Hz</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★适用场景：室内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7</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AI嵌入式开发套件</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★GPU：NVIDIA MAXWELLTM架构，128个CUDA核心</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★CPU：四核ARM Cortex-A57 MPCore处理器</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 xml:space="preserve">★显存：4G 64位LPDDR4 1600MHz </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★存储：16GB Emmc 5.1闪存</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★读取方式：支持micro SD 读取</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★摄像头：2个MIPI CSI-2 DPHY通道</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★连接：10/100/1000以太网</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★显示：HDMI 2.0</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★UPHY：1个PCIE、1个USB3.0、1个USB2.0</w:t>
            </w:r>
          </w:p>
          <w:p>
            <w:pPr>
              <w:snapToGrid w:val="0"/>
              <w:rPr>
                <w:rFonts w:hint="eastAsia"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★I/O：3个UART、2个SPI、2个I2S、2个I2C、多个GPIO25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t>8</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AI嵌入式边缘计算盒</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深度学习加速器：2个NVDLA引擎</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视觉加速器：7路VLIW视觉处理器</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GPU：NVIDIA VoltaTM架构，384个CUDA核心和48个Tensor核心</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CPU：六核NVIDIA Carmel ARM 64位CPU 6MB L2+4MB L3</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显存：8G 128位LPDDR4x 51.2GB/s</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存储：128GB固态硬盘</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读取方式：支持micro SD 读取</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摄像头：2个MIPI CSI-2 DPHY通道</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连接：10/100/1000以太网</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显示：HDMI 2.0</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UPHY：4个USB3.1、1个USB2.0 Micro-B</w:t>
            </w:r>
          </w:p>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I/O：UART、SPI、I2S、I2C、 GPIO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9</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会议室音响套装</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（10寸音响+D20功放+2个会议鹅颈话筒）适用于200平米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4"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10</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多媒体讲台</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drawing>
                <wp:anchor distT="0" distB="0" distL="114300" distR="114300" simplePos="0" relativeHeight="251664384" behindDoc="0" locked="0" layoutInCell="1" allowOverlap="1">
                  <wp:simplePos x="0" y="0"/>
                  <wp:positionH relativeFrom="column">
                    <wp:posOffset>177800</wp:posOffset>
                  </wp:positionH>
                  <wp:positionV relativeFrom="paragraph">
                    <wp:posOffset>477520</wp:posOffset>
                  </wp:positionV>
                  <wp:extent cx="2051685" cy="2051685"/>
                  <wp:effectExtent l="0" t="0" r="5715" b="5715"/>
                  <wp:wrapSquare wrapText="bothSides"/>
                  <wp:docPr id="4" name="图片 2" descr="TB2p6nTmaagSKJjy0FaXXb0dpXa_!!27405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TB2p6nTmaagSKJjy0FaXXb0dpXa_!!274055639"/>
                          <pic:cNvPicPr>
                            <a:picLocks noChangeAspect="1"/>
                          </pic:cNvPicPr>
                        </pic:nvPicPr>
                        <pic:blipFill>
                          <a:blip r:embed="rId7"/>
                          <a:stretch>
                            <a:fillRect/>
                          </a:stretch>
                        </pic:blipFill>
                        <pic:spPr>
                          <a:xfrm>
                            <a:off x="0" y="0"/>
                            <a:ext cx="2051685" cy="2051685"/>
                          </a:xfrm>
                          <a:prstGeom prst="rect">
                            <a:avLst/>
                          </a:prstGeom>
                          <a:noFill/>
                          <a:ln>
                            <a:noFill/>
                          </a:ln>
                        </pic:spPr>
                      </pic:pic>
                    </a:graphicData>
                  </a:graphic>
                </wp:anchor>
              </w:drawing>
            </w:r>
            <w:r>
              <w:rPr>
                <w:rFonts w:hint="eastAsia" w:ascii="宋体" w:hAnsi="宋体" w:cs="宋体"/>
                <w:color w:val="auto"/>
                <w:sz w:val="22"/>
                <w:szCs w:val="22"/>
                <w:highlight w:val="none"/>
              </w:rPr>
              <w:t>尺寸：1600*700*800mm，人造板电脑桌讲台，甲醛排放符合国家安全标准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11</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钢架电脑桌</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1. 框架材质：尺寸160*60*75cm，环保板材，甲醛排放符合国家安全标准</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2.桌面板采用25mm厚实心双贴面板，E1级实木颗粒板，四周同色PVC封边，边条厚度δ≥1.5 mm；</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3.钢架：铁质，脚架焊接钢架，主承重钢架钢板厚度δ≥2.0 mm，边走线钢架钢板为电解钢板厚度δ≥1.2mm，钢架结构样式如下图所示，后背板采用1.2mm厚冲孔钢板制作，钢板宽度≥400 mm，钢板厚度δ≥1.2 mm；</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4.钢架做防锈喷塑处理，钢架及桌面颜色为白色，封边为黑色；</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5.产品验收前提供厂家生产证明，产品合格证及商标标识等。</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pict>
                <v:shape id="Object 14" o:spid="_x0000_s1027" o:spt="75" type="#_x0000_t75" style="position:absolute;left:0pt;margin-left:-0.15pt;margin-top:2.4pt;height:149.05pt;width:166.9pt;mso-wrap-distance-left:9pt;mso-wrap-distance-right:9pt;z-index:251660288;mso-width-relative:page;mso-height-relative:page;" o:ole="t" filled="f" o:preferrelative="t" stroked="f" coordsize="21600,21600" wrapcoords="21592 -2 0 0 0 21599 21592 21601 8 21601 21600 21599 21600 0 8 -2 21592 -2">
                  <v:path/>
                  <v:fill on="f" alignshape="1" focussize="0,0"/>
                  <v:stroke on="f"/>
                  <v:imagedata r:id="rId9" o:title=""/>
                  <o:lock v:ext="edit" aspectratio="t"/>
                  <w10:wrap type="through"/>
                </v:shape>
                <o:OLEObject Type="Embed" ProgID="PBrush" ShapeID="Object 14" DrawAspect="Content" ObjectID="_1468075725" r:id="rId8">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12</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钢架凳子</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框架材质：钢架，人造板凳面，尺寸大约为34*24*45cm，样式与钢架电脑桌配套，环保板材，甲醛排放符合国家安全标准</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"https://gd4.alicdn.com/imgextra/i2/2153596474/O1CN01Zj7Npp1xh8kBmjrNs_!!2153596474.png_400x400.jpg"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1591310" cy="1591310"/>
                  <wp:effectExtent l="0" t="0" r="0" b="0"/>
                  <wp:docPr id="2" name="图片 2" descr="O1CN01Zj7Npp1xh8kBmjrNs_!!215359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1CN01Zj7Npp1xh8kBmjrNs_!!2153596474"/>
                          <pic:cNvPicPr>
                            <a:picLocks noChangeAspect="1"/>
                          </pic:cNvPicPr>
                        </pic:nvPicPr>
                        <pic:blipFill>
                          <a:blip r:embed="rId10"/>
                          <a:stretch>
                            <a:fillRect/>
                          </a:stretch>
                        </pic:blipFill>
                        <pic:spPr>
                          <a:xfrm>
                            <a:off x="0" y="0"/>
                            <a:ext cx="1591310" cy="159131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13</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椅子</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pStyle w:val="3"/>
              <w:numPr>
                <w:ilvl w:val="0"/>
                <w:numId w:val="0"/>
              </w:numPr>
              <w:shd w:val="clear" w:color="auto" w:fill="FFFFFF"/>
              <w:spacing w:before="0" w:after="0" w:line="315" w:lineRule="atLeast"/>
              <w:rPr>
                <w:rFonts w:hint="eastAsia" w:ascii="宋体" w:hAnsi="宋体" w:cs="宋体"/>
                <w:b w:val="0"/>
                <w:color w:val="auto"/>
                <w:sz w:val="22"/>
                <w:szCs w:val="22"/>
                <w:highlight w:val="none"/>
              </w:rPr>
            </w:pPr>
            <w:r>
              <w:rPr>
                <w:rFonts w:hint="eastAsia" w:ascii="宋体" w:hAnsi="宋体" w:cs="宋体"/>
                <w:b w:val="0"/>
                <w:color w:val="auto"/>
                <w:sz w:val="22"/>
                <w:szCs w:val="22"/>
                <w:highlight w:val="none"/>
              </w:rPr>
              <w:t>四脚办公椅、黑色、高密度回弹海绵坐垫、网布靠背，尺寸54*55*93cm</w:t>
            </w:r>
          </w:p>
          <w:p>
            <w:pPr>
              <w:rPr>
                <w:rFonts w:hint="eastAsia" w:ascii="宋体" w:hAnsi="宋体" w:cs="宋体"/>
                <w:color w:val="auto"/>
                <w:sz w:val="22"/>
                <w:szCs w:val="22"/>
                <w:highlight w:val="none"/>
              </w:rPr>
            </w:pPr>
            <w:r>
              <w:rPr>
                <w:rFonts w:hint="eastAsia" w:ascii="宋体" w:hAnsi="宋体" w:cs="宋体"/>
                <w:color w:val="auto"/>
                <w:sz w:val="22"/>
                <w:szCs w:val="22"/>
                <w:highlight w:val="none"/>
              </w:rPr>
              <w:pict>
                <v:shape id="Object 15" o:spid="_x0000_s1028" o:spt="75" type="#_x0000_t75" style="position:absolute;left:0pt;margin-left:-233.95pt;height:150.35pt;width:116.25pt;mso-position-vertical:outside;mso-wrap-distance-left:9pt;mso-wrap-distance-right:9pt;z-index:251661312;mso-width-relative:page;mso-height-relative:page;" o:ole="t" filled="f" o:preferrelative="t" stroked="f" coordsize="21600,21600" wrapcoords="21592 -2 0 0 0 21600 21592 21602 8 21602 21600 21600 21600 0 8 -2 21592 -2">
                  <v:path/>
                  <v:fill on="f" alignshape="1" focussize="0,0"/>
                  <v:stroke on="f"/>
                  <v:imagedata r:id="rId12" o:title=""/>
                  <o:lock v:ext="edit" aspectratio="t"/>
                  <w10:wrap type="through"/>
                </v:shape>
                <o:OLEObject Type="Embed" ProgID="PBrush" ShapeID="Object 15" DrawAspect="Content" ObjectID="_1468075726" r:id="rId1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14</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大器械储物柜</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铁皮材质，白色，860*400*1800mm 加厚0.3mm</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pict>
                <v:shape id="Object 16" o:spid="_x0000_s1029" o:spt="75" type="#_x0000_t75" style="position:absolute;left:0pt;margin-left:-123.35pt;margin-top:6pt;height:147.7pt;width:101.5pt;mso-wrap-distance-left:9pt;mso-wrap-distance-right:9pt;z-index:251662336;mso-width-relative:page;mso-height-relative:page;" o:ole="t" filled="f" o:preferrelative="t" stroked="f" coordsize="21600,21600" wrapcoords="21592 -2 0 0 0 21599 21592 21601 8 21601 21600 21599 21600 0 8 -2 21592 -2">
                  <v:path/>
                  <v:fill on="f" alignshape="1" focussize="0,0"/>
                  <v:stroke on="f"/>
                  <v:imagedata r:id="rId14" o:title=""/>
                  <o:lock v:ext="edit" aspectratio="t"/>
                  <w10:wrap type="through"/>
                </v:shape>
                <o:OLEObject Type="Embed" ProgID="PBrush" ShapeID="Object 16" DrawAspect="Content" ObjectID="_1468075727" r:id="rId1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15</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货架</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材质铁架，4层，尺寸：200*50*200cm，常规载重240kg，白色，可拆装库房模具置物架，大型加厚仓储展示架。</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drawing>
                <wp:anchor distT="0" distB="0" distL="114300" distR="114300" simplePos="0" relativeHeight="251663360" behindDoc="1" locked="0" layoutInCell="1" allowOverlap="1">
                  <wp:simplePos x="0" y="0"/>
                  <wp:positionH relativeFrom="column">
                    <wp:posOffset>-946785</wp:posOffset>
                  </wp:positionH>
                  <wp:positionV relativeFrom="paragraph">
                    <wp:posOffset>12700</wp:posOffset>
                  </wp:positionV>
                  <wp:extent cx="1783715" cy="1783715"/>
                  <wp:effectExtent l="0" t="0" r="6985" b="6985"/>
                  <wp:wrapThrough wrapText="bothSides">
                    <wp:wrapPolygon>
                      <wp:start x="0" y="0"/>
                      <wp:lineTo x="0" y="21454"/>
                      <wp:lineTo x="21454" y="21454"/>
                      <wp:lineTo x="21454" y="0"/>
                      <wp:lineTo x="0" y="0"/>
                    </wp:wrapPolygon>
                  </wp:wrapThrough>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1783715" cy="1783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16</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防静电工作台</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铁质，钢架焊接结构，尺寸180*80*75cm，面板厚度5cm，主承重钢架钢板厚度δ≥2.0 mm，边走线钢架钢板为电解钢板厚度δ≥1.2mm，钢架结构样式如下图所示，钢架做防锈喷塑处理，桌面颜色为绿色，封边为黑色，产品验收前提供厂家生产证明，产品合格证及商标标识等。</w:t>
            </w:r>
          </w:p>
          <w:p>
            <w:pPr>
              <w:pStyle w:val="5"/>
              <w:ind w:firstLine="0"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"https://gd4.alicdn.com/imgextra/i4/2679056804/O1CN01w1Vndk208HNWGZWuS_!!2679056804.jpg_400x400.jpg"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1558290" cy="1558290"/>
                  <wp:effectExtent l="0" t="0" r="3810" b="3810"/>
                  <wp:docPr id="3" name="图片 3" descr="O1CN01w1Vndk208HNWGZWuS_!!267905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1CN01w1Vndk208HNWGZWuS_!!2679056804"/>
                          <pic:cNvPicPr>
                            <a:picLocks noChangeAspect="1"/>
                          </pic:cNvPicPr>
                        </pic:nvPicPr>
                        <pic:blipFill>
                          <a:blip r:embed="rId16"/>
                          <a:stretch>
                            <a:fillRect/>
                          </a:stretch>
                        </pic:blipFill>
                        <pic:spPr>
                          <a:xfrm>
                            <a:off x="0" y="0"/>
                            <a:ext cx="1558290" cy="155829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
                <w:color w:val="auto"/>
                <w:sz w:val="22"/>
                <w:szCs w:val="22"/>
                <w:highlight w:val="none"/>
              </w:rPr>
            </w:pPr>
            <w:r>
              <w:rPr>
                <w:rFonts w:hint="eastAsia" w:ascii="宋体" w:hAnsi="宋体" w:cs="宋体"/>
                <w:color w:val="auto"/>
                <w:sz w:val="22"/>
                <w:szCs w:val="22"/>
                <w:highlight w:val="none"/>
              </w:rPr>
              <w:t>17</w:t>
            </w:r>
          </w:p>
        </w:tc>
        <w:tc>
          <w:tcPr>
            <w:tcW w:w="124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交换机</w:t>
            </w:r>
          </w:p>
        </w:tc>
        <w:tc>
          <w:tcPr>
            <w:tcW w:w="7680"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color w:val="auto"/>
                <w:sz w:val="22"/>
                <w:szCs w:val="22"/>
                <w:highlight w:val="none"/>
              </w:rPr>
            </w:pPr>
            <w:r>
              <w:rPr>
                <w:rFonts w:hint="eastAsia" w:ascii="宋体" w:hAnsi="宋体" w:cs="宋体"/>
                <w:color w:val="auto"/>
                <w:sz w:val="22"/>
                <w:szCs w:val="22"/>
                <w:highlight w:val="none"/>
              </w:rPr>
              <w:t>48个千兆电口，2个千兆光口，端口缓存≥12M，交换容量≥100Gbps。</w:t>
            </w:r>
          </w:p>
        </w:tc>
      </w:tr>
    </w:tbl>
    <w:p>
      <w:pPr>
        <w:snapToGrid w:val="0"/>
        <w:spacing w:line="360" w:lineRule="exact"/>
        <w:rPr>
          <w:rFonts w:ascii="宋体" w:hAnsi="宋体" w:cs="宋体"/>
          <w:b/>
          <w:color w:val="auto"/>
          <w:spacing w:val="-6"/>
          <w:sz w:val="22"/>
          <w:szCs w:val="22"/>
          <w:highlight w:val="none"/>
        </w:rPr>
      </w:pPr>
      <w:r>
        <w:rPr>
          <w:rFonts w:hint="eastAsia" w:ascii="宋体" w:hAnsi="宋体" w:cs="宋体"/>
          <w:b/>
          <w:color w:val="auto"/>
          <w:spacing w:val="-6"/>
          <w:sz w:val="22"/>
          <w:szCs w:val="22"/>
          <w:highlight w:val="none"/>
        </w:rPr>
        <w:t>注：以上图片仅供参考。</w:t>
      </w:r>
    </w:p>
    <w:p>
      <w:pPr>
        <w:snapToGrid w:val="0"/>
        <w:spacing w:line="360" w:lineRule="exact"/>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四、其他</w:t>
      </w:r>
    </w:p>
    <w:p>
      <w:pPr>
        <w:spacing w:line="360" w:lineRule="exact"/>
        <w:ind w:firstLine="418" w:firstLineChars="200"/>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1.标“▲且加下划线”的有关技术和商务要求为实质性条款，响应方必须做出实质性响应</w:t>
      </w:r>
      <w:r>
        <w:rPr>
          <w:rFonts w:hint="eastAsia" w:ascii="宋体" w:hAnsi="宋体" w:cs="宋体"/>
          <w:b/>
          <w:bCs/>
          <w:color w:val="auto"/>
          <w:spacing w:val="-6"/>
          <w:sz w:val="22"/>
          <w:szCs w:val="22"/>
          <w:highlight w:val="none"/>
        </w:rPr>
        <w:t>，否则视为无效响应文件。</w:t>
      </w:r>
      <w:r>
        <w:rPr>
          <w:rFonts w:hint="eastAsia" w:ascii="宋体" w:hAnsi="宋体" w:cs="宋体"/>
          <w:b/>
          <w:color w:val="auto"/>
          <w:spacing w:val="-6"/>
          <w:sz w:val="22"/>
          <w:szCs w:val="22"/>
          <w:highlight w:val="none"/>
        </w:rPr>
        <w:t>标“★”的有关技术和商务要求为重要条款。除此之外其余的指标、服务要求以及合同条款可在磋商现场，根据磋商小组与供应商的磋商进行变动。</w:t>
      </w:r>
    </w:p>
    <w:p>
      <w:pPr>
        <w:spacing w:line="360" w:lineRule="exact"/>
        <w:ind w:firstLine="418" w:firstLineChars="200"/>
        <w:rPr>
          <w:rFonts w:hint="eastAsia" w:ascii="宋体" w:hAnsi="宋体" w:cs="宋体"/>
          <w:b/>
          <w:bCs/>
          <w:color w:val="auto"/>
          <w:kern w:val="0"/>
          <w:sz w:val="22"/>
          <w:szCs w:val="22"/>
          <w:highlight w:val="none"/>
        </w:rPr>
      </w:pPr>
      <w:r>
        <w:rPr>
          <w:rFonts w:hint="eastAsia" w:ascii="宋体" w:hAnsi="宋体" w:cs="宋体"/>
          <w:b/>
          <w:color w:val="auto"/>
          <w:spacing w:val="-6"/>
          <w:sz w:val="22"/>
          <w:szCs w:val="22"/>
          <w:highlight w:val="none"/>
        </w:rPr>
        <w:t>2.除磋商文件中所明确的采购需求规格外，欢迎其他能满足本项目采购需求且性能相当于或高于所明确的产品参加磋商报价。同时在采购需求偏离表中作出详细对比说明</w:t>
      </w:r>
      <w:r>
        <w:rPr>
          <w:rFonts w:hint="eastAsia" w:ascii="宋体" w:hAnsi="宋体" w:cs="宋体"/>
          <w:b/>
          <w:bCs/>
          <w:color w:val="auto"/>
          <w:kern w:val="0"/>
          <w:sz w:val="22"/>
          <w:szCs w:val="22"/>
          <w:highlight w:val="none"/>
        </w:rPr>
        <w:t>。</w:t>
      </w:r>
    </w:p>
    <w:p>
      <w:pPr>
        <w:snapToGrid w:val="0"/>
        <w:spacing w:line="340" w:lineRule="exact"/>
        <w:ind w:firstLine="418" w:firstLineChars="200"/>
        <w:jc w:val="left"/>
        <w:rPr>
          <w:rFonts w:hint="eastAsia" w:ascii="宋体" w:hAnsi="宋体" w:cs="宋体"/>
          <w:color w:val="auto"/>
          <w:kern w:val="0"/>
          <w:sz w:val="22"/>
          <w:szCs w:val="22"/>
          <w:highlight w:val="none"/>
          <w:lang w:bidi="ar"/>
        </w:rPr>
      </w:pPr>
      <w:r>
        <w:rPr>
          <w:rFonts w:hint="eastAsia" w:ascii="宋体" w:hAnsi="宋体" w:cs="宋体"/>
          <w:b/>
          <w:color w:val="auto"/>
          <w:spacing w:val="-6"/>
          <w:sz w:val="22"/>
          <w:szCs w:val="22"/>
          <w:highlight w:val="none"/>
        </w:rPr>
        <w:t>3.如技术要求中未特别注明需执行的国家相关标准、行业标准、地方标准或者其他标准、规范，则统一执行最新标准、规范。</w:t>
      </w:r>
      <w:bookmarkEnd w:id="0"/>
      <w:bookmarkStart w:id="1" w:name="_GoBack"/>
      <w:bookmarkEnd w:id="1"/>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- 20 -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v:imagedata o:title=""/>
              <o:lock v:ext="edit" aspectratio="f"/>
              <v:textbox inset="0mm,0mm,0mm,0mm" style="mso-fit-shape-to-text:t;">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- 20 -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single" w:color="auto" w:sz="4" w:space="1"/>
        <w:right w:val="none" w:color="auto" w:sz="0" w:space="0"/>
      </w:pBdr>
      <w:jc w:val="left"/>
      <w:rPr>
        <w:rFonts w:hint="eastAsia"/>
      </w:rPr>
    </w:pPr>
    <w:r>
      <w:rPr>
        <w:rFonts w:hint="eastAsia"/>
        <w:szCs w:val="22"/>
      </w:rPr>
      <w:t>浙江乐诚工程咨询有限公司磋商文件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DFA06"/>
    <w:multiLevelType w:val="singleLevel"/>
    <w:tmpl w:val="911DFA06"/>
    <w:lvl w:ilvl="0" w:tentative="0">
      <w:start w:val="1"/>
      <w:numFmt w:val="chineseCounting"/>
      <w:suff w:val="nothing"/>
      <w:lvlText w:val="（%1）"/>
      <w:lvlJc w:val="left"/>
      <w:rPr>
        <w:rFonts w:hint="eastAsia"/>
      </w:rPr>
    </w:lvl>
  </w:abstractNum>
  <w:abstractNum w:abstractNumId="1">
    <w:nsid w:val="EF82BFD4"/>
    <w:multiLevelType w:val="singleLevel"/>
    <w:tmpl w:val="EF82BFD4"/>
    <w:lvl w:ilvl="0" w:tentative="0">
      <w:start w:val="3"/>
      <w:numFmt w:val="chineseCounting"/>
      <w:suff w:val="nothing"/>
      <w:lvlText w:val="%1、"/>
      <w:lvlJc w:val="left"/>
      <w:rPr>
        <w:rFonts w:hint="eastAsia"/>
      </w:rPr>
    </w:lvl>
  </w:abstractNum>
  <w:abstractNum w:abstractNumId="2">
    <w:nsid w:val="599E34D6"/>
    <w:multiLevelType w:val="multilevel"/>
    <w:tmpl w:val="599E34D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4ODBiZTM2NTAyNzkzODY2NWZiODk3ZmRkZDBiMjkifQ=="/>
  </w:docVars>
  <w:rsids>
    <w:rsidRoot w:val="00000000"/>
    <w:rsid w:val="06721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numPr>
        <w:ilvl w:val="2"/>
        <w:numId w:val="1"/>
      </w:numPr>
      <w:spacing w:before="260" w:after="260" w:line="413" w:lineRule="auto"/>
      <w:outlineLvl w:val="2"/>
    </w:pPr>
    <w:rPr>
      <w:b/>
      <w:sz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oc 2"/>
    <w:basedOn w:val="1"/>
    <w:next w:val="1"/>
    <w:uiPriority w:val="39"/>
    <w:pPr>
      <w:tabs>
        <w:tab w:val="right" w:leader="dot" w:pos="8302"/>
      </w:tabs>
      <w:ind w:leftChars="200"/>
    </w:pPr>
    <w:rPr>
      <w:b/>
      <w:sz w:val="24"/>
    </w:rPr>
  </w:style>
  <w:style w:type="paragraph" w:styleId="4">
    <w:name w:val="Body Text"/>
    <w:basedOn w:val="1"/>
    <w:next w:val="5"/>
    <w:qFormat/>
    <w:uiPriority w:val="0"/>
    <w:pPr>
      <w:spacing w:after="120"/>
    </w:pPr>
  </w:style>
  <w:style w:type="paragraph" w:styleId="5">
    <w:name w:val="Body Text First Indent"/>
    <w:basedOn w:val="4"/>
    <w:next w:val="6"/>
    <w:uiPriority w:val="0"/>
    <w:pPr>
      <w:ind w:firstLine="420" w:firstLineChars="100"/>
    </w:pPr>
  </w:style>
  <w:style w:type="paragraph" w:styleId="6">
    <w:name w:val="toc 6"/>
    <w:basedOn w:val="1"/>
    <w:next w:val="1"/>
    <w:qFormat/>
    <w:uiPriority w:val="0"/>
    <w:pPr>
      <w:ind w:left="1400"/>
    </w:pPr>
    <w:rPr>
      <w:sz w:val="18"/>
      <w:szCs w:val="18"/>
    </w:rPr>
  </w:style>
  <w:style w:type="paragraph" w:styleId="7">
    <w:name w:val="footer"/>
    <w:basedOn w:val="1"/>
    <w:uiPriority w:val="99"/>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oleObject" Target="embeddings/oleObject3.bin"/><Relationship Id="rId12" Type="http://schemas.openxmlformats.org/officeDocument/2006/relationships/image" Target="media/image5.png"/><Relationship Id="rId11" Type="http://schemas.openxmlformats.org/officeDocument/2006/relationships/oleObject" Target="embeddings/oleObject2.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2022-07-07T13:47:03Z</dcterms:created>
  <dc:creator>hanfeng</dc:creator>
  <cp:lastModifiedBy>hanfeng</cp:lastModifiedBy>
  <dcterms:modified xsi:type="dcterms:W3CDTF">2022-07-07T13:57:55Z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ABE9C32F587C47B599CC033EC3DFC6F1</vt:lpwstr>
  </property>
</Properties>
</file>