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eastAsia="zh-CN"/>
        </w:rPr>
        <w:t>附件</w:t>
      </w:r>
      <w:r>
        <w:rPr>
          <w:rFonts w:hint="default" w:ascii="Times New Roman" w:hAnsi="Times New Roman" w:eastAsia="黑体" w:cs="Times New Roman"/>
          <w:sz w:val="32"/>
          <w:szCs w:val="40"/>
          <w:lang w:val="en-US" w:eastAsia="zh-CN"/>
        </w:rPr>
        <w:t>1</w:t>
      </w:r>
    </w:p>
    <w:p>
      <w:pPr>
        <w:keepNext w:val="0"/>
        <w:keepLines w:val="0"/>
        <w:pageBreakBefore w:val="0"/>
        <w:widowControl w:val="0"/>
        <w:kinsoku/>
        <w:wordWrap/>
        <w:overflowPunct/>
        <w:topLinePunct w:val="0"/>
        <w:autoSpaceDE w:val="0"/>
        <w:autoSpaceDN/>
        <w:bidi w:val="0"/>
        <w:adjustRightInd/>
        <w:spacing w:line="600" w:lineRule="exact"/>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N/>
        <w:bidi w:val="0"/>
        <w:adjustRightInd/>
        <w:snapToGrid w:val="0"/>
        <w:spacing w:line="600" w:lineRule="exact"/>
        <w:ind w:firstLine="880" w:firstLineChars="20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2024年度</w:t>
      </w:r>
      <w:r>
        <w:rPr>
          <w:rFonts w:hint="eastAsia" w:ascii="Times New Roman" w:hAnsi="Times New Roman" w:eastAsia="方正小标宋简体" w:cs="方正小标宋简体"/>
          <w:sz w:val="44"/>
          <w:szCs w:val="44"/>
          <w:lang w:eastAsia="zh-CN"/>
        </w:rPr>
        <w:t>市</w:t>
      </w:r>
      <w:r>
        <w:rPr>
          <w:rFonts w:hint="eastAsia" w:ascii="Times New Roman" w:hAnsi="Times New Roman" w:eastAsia="方正小标宋简体" w:cs="方正小标宋简体"/>
          <w:sz w:val="44"/>
          <w:szCs w:val="44"/>
        </w:rPr>
        <w:t>政协理论研究选题参考</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1．习近平总书记关于加强和改进人民政协工作的重要思想在浙江的探索与实践研究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2．坚持党的领导、统一战线、协商民主有机结合的实践路径研究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3．人民政协与“两个结合”研究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4．人民政协在建设中华民族现代文明中优势作用研究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5．人民政协协商民主与其他国家民主程序比较研究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6．发挥人民政协在发展全过程人民民主中的重要作用研究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7．发挥人民政协作为实行新型政党制度重要政治形式和组织形式的作用研究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8．政协民主监督融入国家监督体系研究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9．人民政协做好新的社会阶层人士团结引领工作的研究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10．丰富协商形式完善政协协商格局研究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11．彰显界别特色发挥政协作用研究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12．发挥人民政协专门委员会作用研究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13．人民政协制度创新的地方经验研究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14．做深做实委员履职“服务为民”活动研究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15．推动委员联系群众多样化机制化经常化研究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16．数字赋能政协工作高质量发展研究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17．发挥政协协商民主在基层社会治理中的作用研究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w:t>
      </w:r>
      <w:r>
        <w:rPr>
          <w:rFonts w:hint="default" w:ascii="Times New Roman" w:hAnsi="Times New Roman" w:eastAsia="仿宋_GB2312" w:cs="Times New Roman"/>
          <w:color w:val="auto"/>
          <w:sz w:val="32"/>
          <w:szCs w:val="32"/>
          <w:lang w:eastAsia="zh-CN"/>
        </w:rPr>
        <w:t>发挥委员主体作用、</w:t>
      </w:r>
      <w:r>
        <w:rPr>
          <w:rFonts w:hint="default" w:ascii="Times New Roman" w:hAnsi="Times New Roman" w:eastAsia="仿宋_GB2312" w:cs="Times New Roman"/>
          <w:color w:val="auto"/>
          <w:sz w:val="32"/>
          <w:szCs w:val="32"/>
        </w:rPr>
        <w:t>强化委员责任担当研究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19．深化打造“同心向党”党建工作品牌研究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20．加强深度协商互动、意见充分表达的实践创新</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21．进一步完善凝聚共识制度机制研究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22．完善政协民主监督制度机制研究</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23．完善委员联系界别群众制度机制研究</w:t>
      </w:r>
    </w:p>
    <w:p>
      <w:pPr>
        <w:ind w:firstLine="640" w:firstLineChars="200"/>
      </w:pPr>
      <w:bookmarkStart w:id="0" w:name="_GoBack"/>
      <w:bookmarkEnd w:id="0"/>
      <w:r>
        <w:rPr>
          <w:rFonts w:hint="default" w:ascii="Times New Roman" w:hAnsi="Times New Roman" w:eastAsia="仿宋_GB2312" w:cs="Times New Roman"/>
          <w:color w:val="auto"/>
          <w:sz w:val="32"/>
          <w:szCs w:val="32"/>
        </w:rPr>
        <w:t>24．加强人民政协制度化、规范化、程序化等功能建设研究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jg3MGRkZWExMDFkOGM1N2E3NDFlOGM5NmExZDAifQ=="/>
  </w:docVars>
  <w:rsids>
    <w:rsidRoot w:val="00000000"/>
    <w:rsid w:val="6E4F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2024-02-25T01:47:45Z</dcterms:created>
  <dc:creator>wzutkyc</dc:creator>
  <cp:lastModifiedBy>ZNJ</cp:lastModifiedBy>
  <dcterms:modified xsi:type="dcterms:W3CDTF">2024-02-25T01:48:14Z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995CFA5DED25482DB5420212291572A1_12</vt:lpwstr>
  </property>
</Properties>
</file>